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D32FD" w14:textId="77777777" w:rsidR="00D54E78" w:rsidRPr="00D54E78" w:rsidRDefault="00D54E78" w:rsidP="00D54E78">
      <w:r w:rsidRPr="00D54E78">
        <w:t>Richard Nettles advises global clients on US executive compensation and employee benefits matters, particularly in the context of mergers and acquisitions.</w:t>
      </w:r>
    </w:p>
    <w:p w14:paraId="6669BD7E" w14:textId="77777777" w:rsidR="00D54E78" w:rsidRPr="00D54E78" w:rsidRDefault="00D54E78" w:rsidP="00D54E78">
      <w:r w:rsidRPr="00D54E78">
        <w:t>Richard leverages his experience at the Internal Revenue Service (IRS) and key technical skills to guide public and private companies on: </w:t>
      </w:r>
    </w:p>
    <w:p w14:paraId="019783B6" w14:textId="77777777" w:rsidR="00D54E78" w:rsidRPr="00D54E78" w:rsidRDefault="00D54E78" w:rsidP="00D54E78">
      <w:pPr>
        <w:numPr>
          <w:ilvl w:val="0"/>
          <w:numId w:val="1"/>
        </w:numPr>
      </w:pPr>
      <w:r w:rsidRPr="00D54E78">
        <w:t>Tax regulatory compliance and compensation structure optimization in major corporate transactions</w:t>
      </w:r>
    </w:p>
    <w:p w14:paraId="2CA4970A" w14:textId="77777777" w:rsidR="00D54E78" w:rsidRPr="00D54E78" w:rsidRDefault="00D54E78" w:rsidP="00D54E78">
      <w:pPr>
        <w:numPr>
          <w:ilvl w:val="0"/>
          <w:numId w:val="1"/>
        </w:numPr>
      </w:pPr>
      <w:r w:rsidRPr="00D54E78">
        <w:t>Complex issues arising under Internal Revenue Code sections 83, 280G, 409A, and 457A</w:t>
      </w:r>
    </w:p>
    <w:p w14:paraId="41431DC5" w14:textId="77777777" w:rsidR="00D54E78" w:rsidRPr="00D54E78" w:rsidRDefault="00D54E78" w:rsidP="00D54E78">
      <w:pPr>
        <w:numPr>
          <w:ilvl w:val="0"/>
          <w:numId w:val="1"/>
        </w:numPr>
      </w:pPr>
      <w:r w:rsidRPr="00D54E78">
        <w:t xml:space="preserve">Employment tax issues, including worker classification, withholding obligations, severance and change-in-control arrangements, compensation </w:t>
      </w:r>
      <w:proofErr w:type="spellStart"/>
      <w:r w:rsidRPr="00D54E78">
        <w:t>clawback</w:t>
      </w:r>
      <w:proofErr w:type="spellEnd"/>
      <w:r w:rsidRPr="00D54E78">
        <w:t xml:space="preserve"> policies, and ERISA/qualified retirement plans</w:t>
      </w:r>
    </w:p>
    <w:p w14:paraId="46D9EA51" w14:textId="77777777" w:rsidR="00D54E78" w:rsidRPr="00D54E78" w:rsidRDefault="00D54E78" w:rsidP="00D54E78">
      <w:pPr>
        <w:numPr>
          <w:ilvl w:val="0"/>
          <w:numId w:val="1"/>
        </w:numPr>
      </w:pPr>
      <w:r w:rsidRPr="00D54E78">
        <w:t>Equity plan design and administration, including stock options, restricted stock, profits interests, restricted stock units (RSUs), deferred compensation, long-term incentive compensation, and employee stock purchase plans (ESPPs)</w:t>
      </w:r>
    </w:p>
    <w:p w14:paraId="30FEFC32" w14:textId="77777777" w:rsidR="00D54E78" w:rsidRPr="00D54E78" w:rsidRDefault="00D54E78" w:rsidP="00D54E78">
      <w:r w:rsidRPr="00D54E78">
        <w:t>Richard joined Latham &amp; Watkins as counsel in July 2025. Before joining Latham, he served as Senior Counsel in the IRS Office of Chief Counsel (</w:t>
      </w:r>
      <w:proofErr w:type="gramStart"/>
      <w:r w:rsidRPr="00D54E78">
        <w:t>EEE:EB</w:t>
      </w:r>
      <w:proofErr w:type="gramEnd"/>
      <w:r w:rsidRPr="00D54E78">
        <w:t>:EC), where he was named the IRS National Office Attorney of the Year in 2023. At the IRS he worked on taxpayer guidance projects and provided advice to the IRS on executive compensation matters, including IRS AM 2022-007.</w:t>
      </w:r>
    </w:p>
    <w:p w14:paraId="35F478CD" w14:textId="71DF269B" w:rsidR="0002078E" w:rsidRPr="006364E2" w:rsidRDefault="0002078E" w:rsidP="006364E2"/>
    <w:sectPr w:rsidR="0002078E" w:rsidRPr="006364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6624"/>
    <w:multiLevelType w:val="multilevel"/>
    <w:tmpl w:val="A5F8C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9954969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8E4"/>
    <w:rsid w:val="0002078E"/>
    <w:rsid w:val="00574F15"/>
    <w:rsid w:val="006364E2"/>
    <w:rsid w:val="00810E0B"/>
    <w:rsid w:val="00883229"/>
    <w:rsid w:val="009735A9"/>
    <w:rsid w:val="00AB28E4"/>
    <w:rsid w:val="00AB7243"/>
    <w:rsid w:val="00D54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4ABC5"/>
  <w15:chartTrackingRefBased/>
  <w15:docId w15:val="{E5257780-6E47-4155-B6AA-C85AA4DA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8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8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8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8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8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8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8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8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8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8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8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8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8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8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8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8E4"/>
    <w:rPr>
      <w:rFonts w:eastAsiaTheme="majorEastAsia" w:cstheme="majorBidi"/>
      <w:color w:val="272727" w:themeColor="text1" w:themeTint="D8"/>
    </w:rPr>
  </w:style>
  <w:style w:type="paragraph" w:styleId="Title">
    <w:name w:val="Title"/>
    <w:basedOn w:val="Normal"/>
    <w:next w:val="Normal"/>
    <w:link w:val="TitleChar"/>
    <w:uiPriority w:val="10"/>
    <w:qFormat/>
    <w:rsid w:val="00AB2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8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8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8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8E4"/>
    <w:pPr>
      <w:spacing w:before="160"/>
      <w:jc w:val="center"/>
    </w:pPr>
    <w:rPr>
      <w:i/>
      <w:iCs/>
      <w:color w:val="404040" w:themeColor="text1" w:themeTint="BF"/>
    </w:rPr>
  </w:style>
  <w:style w:type="character" w:customStyle="1" w:styleId="QuoteChar">
    <w:name w:val="Quote Char"/>
    <w:basedOn w:val="DefaultParagraphFont"/>
    <w:link w:val="Quote"/>
    <w:uiPriority w:val="29"/>
    <w:rsid w:val="00AB28E4"/>
    <w:rPr>
      <w:i/>
      <w:iCs/>
      <w:color w:val="404040" w:themeColor="text1" w:themeTint="BF"/>
    </w:rPr>
  </w:style>
  <w:style w:type="paragraph" w:styleId="ListParagraph">
    <w:name w:val="List Paragraph"/>
    <w:basedOn w:val="Normal"/>
    <w:uiPriority w:val="34"/>
    <w:qFormat/>
    <w:rsid w:val="00AB28E4"/>
    <w:pPr>
      <w:ind w:left="720"/>
      <w:contextualSpacing/>
    </w:pPr>
  </w:style>
  <w:style w:type="character" w:styleId="IntenseEmphasis">
    <w:name w:val="Intense Emphasis"/>
    <w:basedOn w:val="DefaultParagraphFont"/>
    <w:uiPriority w:val="21"/>
    <w:qFormat/>
    <w:rsid w:val="00AB28E4"/>
    <w:rPr>
      <w:i/>
      <w:iCs/>
      <w:color w:val="0F4761" w:themeColor="accent1" w:themeShade="BF"/>
    </w:rPr>
  </w:style>
  <w:style w:type="paragraph" w:styleId="IntenseQuote">
    <w:name w:val="Intense Quote"/>
    <w:basedOn w:val="Normal"/>
    <w:next w:val="Normal"/>
    <w:link w:val="IntenseQuoteChar"/>
    <w:uiPriority w:val="30"/>
    <w:qFormat/>
    <w:rsid w:val="00AB2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8E4"/>
    <w:rPr>
      <w:i/>
      <w:iCs/>
      <w:color w:val="0F4761" w:themeColor="accent1" w:themeShade="BF"/>
    </w:rPr>
  </w:style>
  <w:style w:type="character" w:styleId="IntenseReference">
    <w:name w:val="Intense Reference"/>
    <w:basedOn w:val="DefaultParagraphFont"/>
    <w:uiPriority w:val="32"/>
    <w:qFormat/>
    <w:rsid w:val="00AB28E4"/>
    <w:rPr>
      <w:b/>
      <w:bCs/>
      <w:smallCaps/>
      <w:color w:val="0F4761" w:themeColor="accent1" w:themeShade="BF"/>
      <w:spacing w:val="5"/>
    </w:rPr>
  </w:style>
  <w:style w:type="character" w:styleId="Hyperlink">
    <w:name w:val="Hyperlink"/>
    <w:basedOn w:val="DefaultParagraphFont"/>
    <w:uiPriority w:val="99"/>
    <w:unhideWhenUsed/>
    <w:rsid w:val="00AB28E4"/>
    <w:rPr>
      <w:color w:val="467886" w:themeColor="hyperlink"/>
      <w:u w:val="single"/>
    </w:rPr>
  </w:style>
  <w:style w:type="character" w:styleId="UnresolvedMention">
    <w:name w:val="Unresolved Mention"/>
    <w:basedOn w:val="DefaultParagraphFont"/>
    <w:uiPriority w:val="99"/>
    <w:semiHidden/>
    <w:unhideWhenUsed/>
    <w:rsid w:val="00AB2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Lorrie Eyles</dc:creator>
  <cp:keywords/>
  <dc:description/>
  <cp:lastModifiedBy>Lorrie Eyles</cp:lastModifiedBy>
  <cp:revision>2</cp:revision>
  <dcterms:created xsi:type="dcterms:W3CDTF">2026-02-17T20:17:00Z</dcterms:created>
  <dcterms:modified xsi:type="dcterms:W3CDTF">2026-02-17T20:17:00Z</dcterms:modified>
</cp:coreProperties>
</file>