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D06B48" w:rsidRPr="00AE6D19" w:rsidP="00AE6D19" w14:paraId="0B3E0A3C" w14:textId="061830A7">
      <w:pPr>
        <w:widowControl/>
        <w:jc w:val="center"/>
        <w:rPr>
          <w:b/>
          <w:bCs/>
        </w:rPr>
      </w:pPr>
      <w:r w:rsidRPr="00AE6D19">
        <w:rPr>
          <w:b/>
          <w:bCs/>
        </w:rPr>
        <w:t>IRS Practitioner Panel</w:t>
      </w:r>
    </w:p>
    <w:p w:rsidR="00D06B48" w:rsidRPr="00AE6D19" w:rsidP="00AE6D19" w14:paraId="690F27BE" w14:textId="5918F723">
      <w:pPr>
        <w:widowControl/>
        <w:jc w:val="center"/>
        <w:rPr>
          <w:b/>
          <w:bCs/>
        </w:rPr>
      </w:pPr>
      <w:r w:rsidRPr="00AE6D19">
        <w:rPr>
          <w:b/>
          <w:bCs/>
        </w:rPr>
        <w:t>February 24, 2023</w:t>
      </w:r>
    </w:p>
    <w:p w:rsidR="00D803CF" w:rsidRPr="00AE6D19" w:rsidP="00116C8B" w14:paraId="7F620B2F" w14:textId="2B48C750">
      <w:pPr>
        <w:widowControl/>
        <w:spacing w:after="240"/>
        <w:jc w:val="center"/>
        <w:rPr>
          <w:b/>
          <w:bCs/>
        </w:rPr>
      </w:pPr>
      <w:r w:rsidRPr="00AE6D19">
        <w:rPr>
          <w:b/>
          <w:bCs/>
        </w:rPr>
        <w:t xml:space="preserve">SECURE 2.0 </w:t>
      </w:r>
      <w:r w:rsidR="00654F43">
        <w:rPr>
          <w:b/>
          <w:bCs/>
        </w:rPr>
        <w:t xml:space="preserve">– </w:t>
      </w:r>
      <w:r w:rsidRPr="00AE6D19">
        <w:rPr>
          <w:b/>
          <w:bCs/>
        </w:rPr>
        <w:t>Section 110 Treatment of Student Loan Payments as Elective Deferrals</w:t>
      </w:r>
      <w:r w:rsidR="00654F43">
        <w:rPr>
          <w:b/>
          <w:bCs/>
        </w:rPr>
        <w:br/>
      </w:r>
      <w:r w:rsidRPr="00AE6D19">
        <w:rPr>
          <w:b/>
          <w:bCs/>
        </w:rPr>
        <w:t>for Purposes of Matching Contributions</w:t>
      </w:r>
    </w:p>
    <w:p w:rsidR="008802EE" w:rsidRPr="008802EE" w:rsidP="00181FB9" w14:paraId="0DBF32EC" w14:textId="77EF69F9">
      <w:pPr>
        <w:widowControl/>
        <w:spacing w:after="240"/>
        <w:jc w:val="both"/>
        <w:rPr>
          <w:b/>
          <w:bCs/>
          <w:u w:val="single"/>
        </w:rPr>
      </w:pPr>
      <w:r w:rsidRPr="008802EE">
        <w:rPr>
          <w:b/>
          <w:bCs/>
          <w:u w:val="single"/>
        </w:rPr>
        <w:t>Background</w:t>
      </w:r>
    </w:p>
    <w:p w:rsidR="00106C09" w:rsidP="00AE6D19" w14:paraId="76911F02" w14:textId="16B25B08">
      <w:pPr>
        <w:pStyle w:val="ListParagraph"/>
        <w:widowControl/>
        <w:numPr>
          <w:ilvl w:val="0"/>
          <w:numId w:val="3"/>
        </w:numPr>
        <w:jc w:val="both"/>
      </w:pPr>
      <w:r>
        <w:t>Applies to 401(a), 403(b), SIMPLE, 457(b)</w:t>
      </w:r>
      <w:r w:rsidR="00BE6F6D">
        <w:t xml:space="preserve"> plans</w:t>
      </w:r>
    </w:p>
    <w:p w:rsidR="008802EE" w:rsidP="00AE6D19" w14:paraId="34EB9BAA" w14:textId="00D1D7DB">
      <w:pPr>
        <w:pStyle w:val="ListParagraph"/>
        <w:widowControl/>
        <w:numPr>
          <w:ilvl w:val="0"/>
          <w:numId w:val="1"/>
        </w:numPr>
        <w:jc w:val="both"/>
      </w:pPr>
      <w:r>
        <w:t xml:space="preserve">Adds a new definition of “qualified student loan payment”: </w:t>
      </w:r>
    </w:p>
    <w:p w:rsidR="00D66508" w:rsidP="00AE6D19" w14:paraId="0D529ADE" w14:textId="73E9D72F">
      <w:pPr>
        <w:pStyle w:val="ListParagraph"/>
        <w:widowControl/>
        <w:numPr>
          <w:ilvl w:val="1"/>
          <w:numId w:val="1"/>
        </w:numPr>
        <w:ind w:left="1080"/>
        <w:jc w:val="both"/>
      </w:pPr>
      <w:r>
        <w:t>“a payment made by an employee in repayment of a qualified education loan (as defined in section 221(d)(1)) incurred by the employee to pay qualified higher education expenses, but only—</w:t>
      </w:r>
    </w:p>
    <w:p w:rsidR="00D66508" w:rsidP="00AE6D19" w14:paraId="1CBF5CE5" w14:textId="3A15DFF0">
      <w:pPr>
        <w:widowControl/>
        <w:ind w:left="1620" w:hanging="540"/>
        <w:jc w:val="both"/>
      </w:pPr>
      <w:r>
        <w:t>(i)</w:t>
      </w:r>
      <w:r>
        <w:tab/>
      </w:r>
      <w:r>
        <w:t>To the extent such payments in the aggregate for the year do not exceed an amount equal to—</w:t>
      </w:r>
    </w:p>
    <w:p w:rsidR="00D66508" w:rsidP="00AE6D19" w14:paraId="3B9F8387" w14:textId="2AE4B0A8">
      <w:pPr>
        <w:widowControl/>
        <w:ind w:left="2160" w:hanging="540"/>
        <w:jc w:val="both"/>
      </w:pPr>
      <w:r>
        <w:t>(I)</w:t>
      </w:r>
      <w:r w:rsidR="0099447A">
        <w:tab/>
      </w:r>
      <w:r>
        <w:t>the limitation applicable under Section 402(g) for the year (or, if lesser, the employee’s compensation (as defined by section 415(c)(3) for the year), reduced by</w:t>
      </w:r>
    </w:p>
    <w:p w:rsidR="005D1DE7" w:rsidP="00AE6D19" w14:paraId="5E342B6B" w14:textId="7046BBD8">
      <w:pPr>
        <w:widowControl/>
        <w:ind w:left="2160" w:hanging="540"/>
        <w:jc w:val="both"/>
      </w:pPr>
      <w:r>
        <w:t>(II)</w:t>
      </w:r>
      <w:r w:rsidR="0099447A">
        <w:tab/>
      </w:r>
      <w:r>
        <w:t>the elective deferrals made by the employee for such year, and</w:t>
      </w:r>
    </w:p>
    <w:p w:rsidR="005D1DE7" w:rsidP="00AE6D19" w14:paraId="47EFC087" w14:textId="1AEAEB4C">
      <w:pPr>
        <w:widowControl/>
        <w:ind w:left="1620" w:hanging="540"/>
        <w:jc w:val="both"/>
      </w:pPr>
      <w:r>
        <w:t>(ii)</w:t>
      </w:r>
      <w:r w:rsidR="0099447A">
        <w:tab/>
      </w:r>
      <w:r>
        <w:t>if the employee certifies annually to the employer making the matching contribution under this paragraph that such payment has been made on such loan.</w:t>
      </w:r>
      <w:r w:rsidR="003D1EC4">
        <w:t>”</w:t>
      </w:r>
    </w:p>
    <w:p w:rsidR="005D1DE7" w:rsidP="00AE6D19" w14:paraId="77C62781" w14:textId="61383628">
      <w:pPr>
        <w:pStyle w:val="ListParagraph"/>
        <w:widowControl/>
        <w:numPr>
          <w:ilvl w:val="0"/>
          <w:numId w:val="1"/>
        </w:numPr>
        <w:spacing w:after="240"/>
        <w:contextualSpacing w:val="0"/>
        <w:jc w:val="both"/>
      </w:pPr>
      <w:r>
        <w:t>An employer contribution made to a defined contribution plan is treated as a matching contribution if (</w:t>
      </w:r>
      <w:r>
        <w:t>i</w:t>
      </w:r>
      <w:r>
        <w:t>)</w:t>
      </w:r>
      <w:r w:rsidR="009727BB">
        <w:t> </w:t>
      </w:r>
      <w:r>
        <w:t>the matching contributions on qualified student loan payments are at the same rate as elective deferrals, (ii)</w:t>
      </w:r>
      <w:r w:rsidR="009727BB">
        <w:t> </w:t>
      </w:r>
      <w:r>
        <w:t>only employees eligible for elective deferrals may receive the matching contributions on account of qualified student loan repayments, (iii)</w:t>
      </w:r>
      <w:r w:rsidR="009727BB">
        <w:t> </w:t>
      </w:r>
      <w:r>
        <w:t xml:space="preserve">all employees who are eligible to receive matching contributions on account of elective deferrals are eligible to receive matching contributions on account of qualified student loan payments, </w:t>
      </w:r>
      <w:r w:rsidR="003D1EC4">
        <w:t xml:space="preserve">and </w:t>
      </w:r>
      <w:r>
        <w:t>(iv)</w:t>
      </w:r>
      <w:r w:rsidR="009727BB">
        <w:t> </w:t>
      </w:r>
      <w:r>
        <w:t xml:space="preserve">vesting is the same for matching contributions on account of elective deferrals and qualified student loan payments. </w:t>
      </w:r>
    </w:p>
    <w:p w:rsidR="005D1DE7" w:rsidRPr="005D1DE7" w:rsidP="00181FB9" w14:paraId="0E395BD0" w14:textId="47B04282">
      <w:pPr>
        <w:widowControl/>
        <w:spacing w:after="240"/>
        <w:jc w:val="both"/>
        <w:rPr>
          <w:b/>
          <w:bCs/>
          <w:u w:val="single"/>
        </w:rPr>
      </w:pPr>
      <w:r w:rsidRPr="005D1DE7">
        <w:rPr>
          <w:b/>
          <w:bCs/>
          <w:u w:val="single"/>
        </w:rPr>
        <w:t>Questions</w:t>
      </w:r>
      <w:r w:rsidR="00E97F84">
        <w:rPr>
          <w:b/>
          <w:bCs/>
          <w:u w:val="single"/>
        </w:rPr>
        <w:t>/Comments</w:t>
      </w:r>
    </w:p>
    <w:p w:rsidR="005D1DE7" w:rsidP="00AE6D19" w14:paraId="30E92C50" w14:textId="100585F2">
      <w:pPr>
        <w:pStyle w:val="ListParagraph"/>
        <w:widowControl/>
        <w:numPr>
          <w:ilvl w:val="0"/>
          <w:numId w:val="1"/>
        </w:numPr>
        <w:jc w:val="both"/>
      </w:pPr>
      <w:r>
        <w:t>Does this apply to parents who incurred a loan for a</w:t>
      </w:r>
      <w:r w:rsidR="003D1EC4">
        <w:t xml:space="preserve"> child to go to college</w:t>
      </w:r>
      <w:r>
        <w:t xml:space="preserve">?  </w:t>
      </w:r>
    </w:p>
    <w:p w:rsidR="005D1DE7" w:rsidP="00AE6D19" w14:paraId="35E8D1BE" w14:textId="035ABB4D">
      <w:pPr>
        <w:pStyle w:val="ListParagraph"/>
        <w:widowControl/>
        <w:numPr>
          <w:ilvl w:val="0"/>
          <w:numId w:val="1"/>
        </w:numPr>
        <w:jc w:val="both"/>
      </w:pPr>
      <w:r>
        <w:t xml:space="preserve">Does this apply for a parent who is repaying loans in the name of their child? </w:t>
      </w:r>
    </w:p>
    <w:p w:rsidR="00D06B48" w:rsidP="00AE6D19" w14:paraId="490BD1E7" w14:textId="1B123DE9">
      <w:pPr>
        <w:pStyle w:val="ListParagraph"/>
        <w:widowControl/>
        <w:numPr>
          <w:ilvl w:val="0"/>
          <w:numId w:val="1"/>
        </w:numPr>
        <w:jc w:val="both"/>
      </w:pPr>
      <w:r>
        <w:t>What, if any, diligence does employer need to do to confirm employee is making qualified student loan repayments</w:t>
      </w:r>
      <w:r w:rsidR="000B65CE">
        <w:t xml:space="preserve"> in the amount certified</w:t>
      </w:r>
      <w:r>
        <w:t xml:space="preserve">? </w:t>
      </w:r>
    </w:p>
    <w:p w:rsidR="00D06B48" w:rsidP="00AE6D19" w14:paraId="71431FE9" w14:textId="7FE5DFDE">
      <w:pPr>
        <w:pStyle w:val="ListParagraph"/>
        <w:widowControl/>
        <w:numPr>
          <w:ilvl w:val="0"/>
          <w:numId w:val="1"/>
        </w:numPr>
        <w:jc w:val="both"/>
      </w:pPr>
      <w:r>
        <w:t xml:space="preserve">Can an employer require </w:t>
      </w:r>
      <w:r w:rsidR="000B65CE">
        <w:t xml:space="preserve">evidence beyond </w:t>
      </w:r>
      <w:r>
        <w:t xml:space="preserve">a certification from an employee that the employee is making the repayments? </w:t>
      </w:r>
    </w:p>
    <w:p w:rsidR="00D06B48" w:rsidP="00AE6D19" w14:paraId="1B23CC0D" w14:textId="47A3A652">
      <w:pPr>
        <w:pStyle w:val="ListParagraph"/>
        <w:widowControl/>
        <w:numPr>
          <w:ilvl w:val="0"/>
          <w:numId w:val="1"/>
        </w:numPr>
        <w:jc w:val="both"/>
      </w:pPr>
      <w:r>
        <w:t xml:space="preserve">What is the correction if the employer </w:t>
      </w:r>
      <w:r w:rsidR="000B65CE">
        <w:t xml:space="preserve">discovers </w:t>
      </w:r>
      <w:r>
        <w:t xml:space="preserve">the employee was not making qualified student loan repayments or </w:t>
      </w:r>
      <w:r w:rsidR="000B65CE">
        <w:t xml:space="preserve">discovers </w:t>
      </w:r>
      <w:r>
        <w:t xml:space="preserve">the </w:t>
      </w:r>
      <w:r w:rsidR="000B65CE">
        <w:t xml:space="preserve">amount that the </w:t>
      </w:r>
      <w:r>
        <w:t>employee certified as a qualified student loan repayment was incorrect?</w:t>
      </w:r>
    </w:p>
    <w:p w:rsidR="00D06B48" w:rsidP="00AE6D19" w14:paraId="48916213" w14:textId="525074DE">
      <w:pPr>
        <w:pStyle w:val="ListParagraph"/>
        <w:widowControl/>
        <w:numPr>
          <w:ilvl w:val="0"/>
          <w:numId w:val="1"/>
        </w:numPr>
        <w:jc w:val="both"/>
      </w:pPr>
      <w:r>
        <w:t>Can the same loan repayment be used for matching contributions in multiple plans (</w:t>
      </w:r>
      <w:r w:rsidRPr="0099447A">
        <w:rPr>
          <w:i/>
          <w:iCs/>
        </w:rPr>
        <w:t>e.g.</w:t>
      </w:r>
      <w:r>
        <w:t>, employee has 2</w:t>
      </w:r>
      <w:r w:rsidR="00654F43">
        <w:t> </w:t>
      </w:r>
      <w:r>
        <w:t>jobs or employee and spouse have consolidated student loans)</w:t>
      </w:r>
      <w:r w:rsidR="000B65CE">
        <w:t>?</w:t>
      </w:r>
    </w:p>
    <w:p w:rsidR="00035A77" w:rsidP="00AE6D19" w14:paraId="11DD04E3" w14:textId="18B3F6F7">
      <w:pPr>
        <w:pStyle w:val="ListParagraph"/>
        <w:widowControl/>
        <w:numPr>
          <w:ilvl w:val="0"/>
          <w:numId w:val="1"/>
        </w:numPr>
        <w:jc w:val="both"/>
      </w:pPr>
      <w:r>
        <w:t>C</w:t>
      </w:r>
      <w:r>
        <w:t>an the employer limit the participating group (</w:t>
      </w:r>
      <w:r w:rsidRPr="0099447A">
        <w:rPr>
          <w:i/>
          <w:iCs/>
        </w:rPr>
        <w:t>e.g.</w:t>
      </w:r>
      <w:r>
        <w:t>, only students, only new hires)</w:t>
      </w:r>
      <w:r w:rsidR="000B65CE">
        <w:t xml:space="preserve">? </w:t>
      </w:r>
      <w:r>
        <w:t xml:space="preserve"> </w:t>
      </w:r>
    </w:p>
    <w:p w:rsidR="00D96018" w:rsidP="00AE6D19" w14:paraId="2EC7BEF0" w14:textId="655A5022">
      <w:pPr>
        <w:pStyle w:val="ListParagraph"/>
        <w:widowControl/>
        <w:numPr>
          <w:ilvl w:val="0"/>
          <w:numId w:val="1"/>
        </w:numPr>
        <w:jc w:val="both"/>
      </w:pPr>
      <w:r>
        <w:t>The statute directs the Secretary of the Treasury to prescribe regulations “permitting employers to establish reasonable procedures to claim matching contributions, including an annual deadline (not earlier than 3</w:t>
      </w:r>
      <w:r w:rsidR="00654F43">
        <w:t> </w:t>
      </w:r>
      <w:r>
        <w:t>months after the close of each plan year) by which a claim must be made.</w:t>
      </w:r>
      <w:r w:rsidR="000B65CE">
        <w:t>”</w:t>
      </w:r>
      <w:r>
        <w:t xml:space="preserve">  How will this deadline work for refunds of excess contributions?  Most plans distribute excess contributions by March 15.  </w:t>
      </w:r>
    </w:p>
    <w:p w:rsidR="00D06B48" w:rsidP="00AE6D19" w14:paraId="63AE01AC" w14:textId="39347185">
      <w:pPr>
        <w:pStyle w:val="ListParagraph"/>
        <w:widowControl/>
        <w:numPr>
          <w:ilvl w:val="0"/>
          <w:numId w:val="4"/>
        </w:numPr>
        <w:jc w:val="both"/>
      </w:pPr>
      <w:r>
        <w:t xml:space="preserve">Under the statute, plans may </w:t>
      </w:r>
      <w:r>
        <w:t xml:space="preserve">treat participants who receive matching contributions separately for ADP testing. </w:t>
      </w:r>
      <w:r>
        <w:t xml:space="preserve"> There is some concern that </w:t>
      </w:r>
      <w:r>
        <w:t>elective deferrals will go down</w:t>
      </w:r>
      <w:r>
        <w:t xml:space="preserve">, particularly once the COVID student loan relief expires, which may result in an even larger ADP challenge if those making loan repayments are carved out. </w:t>
      </w:r>
    </w:p>
    <w:p w:rsidR="00E97F84" w:rsidP="00AE6D19" w14:paraId="2BF3BCCE" w14:textId="00670230">
      <w:pPr>
        <w:pStyle w:val="ListParagraph"/>
        <w:widowControl/>
        <w:numPr>
          <w:ilvl w:val="0"/>
          <w:numId w:val="4"/>
        </w:numPr>
        <w:jc w:val="both"/>
      </w:pPr>
      <w:r>
        <w:t xml:space="preserve">If an employer took out a 401(k) Plan loan for educational expenses, SECURE 2.0 does not seem to permit a matching contribution on the </w:t>
      </w:r>
      <w:r>
        <w:t>401(k) plan</w:t>
      </w:r>
      <w:r>
        <w:t xml:space="preserve"> loan repayment. </w:t>
      </w:r>
    </w:p>
    <w:sectPr w:rsidSect="00116C8B">
      <w:footerReference w:type="default" r:id="rId4"/>
      <w:footerReference w:type="first" r:id="rId5"/>
      <w:pgSz w:w="12240" w:h="15840" w:code="1"/>
      <w:pgMar w:top="1152" w:right="720" w:bottom="1008" w:left="72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4C80" w14:paraId="17D0B8F4" w14:textId="67D968C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width:201.6pt;height:20.1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8240" filled="f" stroked="f">
          <v:textbox inset="0,0,0,0">
            <w:txbxContent>
              <w:p w:rsidR="00554C80" w14:paraId="572F5025" w14:textId="58FB1ADC">
                <w:pPr>
                  <w:pStyle w:val="MacPacTrailer"/>
                </w:pPr>
                <w:r>
                  <w:t>4893-6566-3313.1</w:t>
                </w:r>
              </w:p>
              <w:p w:rsidR="00554C80" w14:paraId="4D2274E8" w14:textId="5689F048">
                <w:pPr>
                  <w:pStyle w:val="MacPacTrailer"/>
                </w:pPr>
              </w:p>
            </w:txbxContent>
          </v:textbox>
          <w10:wrap anchorx="margin"/>
        </v:shape>
      </w:pict>
    </w:r>
    <w:r w:rsidR="0099447A">
      <w:tab/>
    </w:r>
    <w:r w:rsidR="0099447A">
      <w:fldChar w:fldCharType="begin"/>
    </w:r>
    <w:r w:rsidR="0099447A">
      <w:instrText xml:space="preserve"> PAGE   \* MERGEFORMAT </w:instrText>
    </w:r>
    <w:r w:rsidR="0099447A">
      <w:fldChar w:fldCharType="separate"/>
    </w:r>
    <w:r w:rsidR="0099447A">
      <w:rPr>
        <w:noProof/>
      </w:rPr>
      <w:t>1</w:t>
    </w:r>
    <w:r w:rsidR="0099447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4C80" w14:paraId="0BB0E2F5" w14:textId="7777777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width:201.6pt;height:20.1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<v:textbox inset="0,0,0,0">
            <w:txbxContent>
              <w:p w:rsidR="00554C80" w14:paraId="268F13D3" w14:textId="12FCB3F7">
                <w:pPr>
                  <w:pStyle w:val="MacPacTrailer"/>
                </w:pPr>
                <w:r>
                  <w:t>4893-6566-3313.1</w:t>
                </w:r>
              </w:p>
              <w:p w:rsidR="00554C80" w14:paraId="59F8530D" w14:textId="7CA86E3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58783B"/>
    <w:multiLevelType w:val="hybridMultilevel"/>
    <w:tmpl w:val="79F2C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3D2"/>
    <w:multiLevelType w:val="hybridMultilevel"/>
    <w:tmpl w:val="99A0F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4BD8"/>
    <w:multiLevelType w:val="hybridMultilevel"/>
    <w:tmpl w:val="123A8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B1894"/>
    <w:multiLevelType w:val="hybridMultilevel"/>
    <w:tmpl w:val="418E4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80"/>
    <w:rsid w:val="00035A77"/>
    <w:rsid w:val="000464A1"/>
    <w:rsid w:val="000A68B3"/>
    <w:rsid w:val="000B65CE"/>
    <w:rsid w:val="00106C09"/>
    <w:rsid w:val="00116C8B"/>
    <w:rsid w:val="00181FB9"/>
    <w:rsid w:val="00224EF3"/>
    <w:rsid w:val="002A758A"/>
    <w:rsid w:val="00315291"/>
    <w:rsid w:val="003D1EC4"/>
    <w:rsid w:val="00554C80"/>
    <w:rsid w:val="005D1DE7"/>
    <w:rsid w:val="005E7F4B"/>
    <w:rsid w:val="00654F43"/>
    <w:rsid w:val="00682DDD"/>
    <w:rsid w:val="00753C77"/>
    <w:rsid w:val="007811D5"/>
    <w:rsid w:val="007C0B59"/>
    <w:rsid w:val="00856FC2"/>
    <w:rsid w:val="008802EE"/>
    <w:rsid w:val="00937B69"/>
    <w:rsid w:val="009563B4"/>
    <w:rsid w:val="009727BB"/>
    <w:rsid w:val="0099447A"/>
    <w:rsid w:val="009B10CA"/>
    <w:rsid w:val="00AB35DB"/>
    <w:rsid w:val="00AE6D19"/>
    <w:rsid w:val="00BE6F6D"/>
    <w:rsid w:val="00C30F62"/>
    <w:rsid w:val="00CA4BC5"/>
    <w:rsid w:val="00D06B48"/>
    <w:rsid w:val="00D66508"/>
    <w:rsid w:val="00D803CF"/>
    <w:rsid w:val="00D96018"/>
    <w:rsid w:val="00E827D9"/>
    <w:rsid w:val="00E851A6"/>
    <w:rsid w:val="00E97F84"/>
    <w:rsid w:val="00EF4067"/>
    <w:rsid w:val="00F705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4CF316-208E-481B-937A-45D1B3EC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CA"/>
    <w:pPr>
      <w:widowControl w:val="0"/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10C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C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CA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CA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CA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CA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CA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CA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CA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"/>
    <w:qFormat/>
    <w:rsid w:val="009B10CA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9B10CA"/>
    <w:rPr>
      <w:rFonts w:ascii="Times New Roman" w:hAnsi="Times New Roman"/>
      <w:iCs/>
    </w:rPr>
  </w:style>
  <w:style w:type="paragraph" w:styleId="BodyText">
    <w:name w:val="Body Text"/>
    <w:basedOn w:val="Normal"/>
    <w:next w:val="Normal"/>
    <w:link w:val="BodyTextChar"/>
    <w:uiPriority w:val="1"/>
    <w:qFormat/>
    <w:rsid w:val="009B10C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9B10CA"/>
    <w:rPr>
      <w:rFonts w:ascii="Times New Roman" w:hAnsi="Times New Roman"/>
    </w:rPr>
  </w:style>
  <w:style w:type="paragraph" w:customStyle="1" w:styleId="BodyTextContinued">
    <w:name w:val="Body Text Continued"/>
    <w:basedOn w:val="BodyText"/>
    <w:uiPriority w:val="1"/>
    <w:qFormat/>
    <w:rsid w:val="009B10CA"/>
    <w:pPr>
      <w:ind w:firstLine="0"/>
    </w:pPr>
  </w:style>
  <w:style w:type="paragraph" w:styleId="Title">
    <w:name w:val="Title"/>
    <w:basedOn w:val="Normal"/>
    <w:next w:val="Normal"/>
    <w:link w:val="TitleChar"/>
    <w:uiPriority w:val="6"/>
    <w:qFormat/>
    <w:rsid w:val="009B10CA"/>
    <w:pPr>
      <w:keepNext/>
      <w:keepLines/>
      <w:spacing w:after="360"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9B10CA"/>
    <w:rPr>
      <w:rFonts w:ascii="Times New Roman" w:hAnsi="Times New Roman" w:eastAsiaTheme="majorEastAsia" w:cstheme="majorBidi"/>
      <w:b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CA"/>
    <w:rPr>
      <w:rFonts w:ascii="Times New Roman" w:hAnsi="Times New Roman"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0CA"/>
    <w:rPr>
      <w:rFonts w:ascii="Times New Roman" w:hAnsi="Times New Roman"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CA"/>
    <w:rPr>
      <w:rFonts w:ascii="Times New Roman" w:hAnsi="Times New Roman"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CA"/>
    <w:rPr>
      <w:rFonts w:ascii="Times New Roman" w:hAnsi="Times New Roman"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CA"/>
    <w:rPr>
      <w:rFonts w:ascii="Times New Roman" w:hAnsi="Times New Roman"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CA"/>
    <w:rPr>
      <w:rFonts w:ascii="Times New Roman" w:hAnsi="Times New Roman"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CA"/>
    <w:rPr>
      <w:rFonts w:ascii="Times New Roman" w:hAnsi="Times New Roman"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CA"/>
    <w:rPr>
      <w:rFonts w:ascii="Times New Roman" w:hAnsi="Times New Roman"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CA"/>
    <w:rPr>
      <w:rFonts w:ascii="Times New Roman" w:hAnsi="Times New Roman" w:eastAsiaTheme="majorEastAsia" w:cstheme="majorBidi"/>
      <w:b/>
      <w:iCs/>
      <w:szCs w:val="20"/>
    </w:rPr>
  </w:style>
  <w:style w:type="paragraph" w:styleId="Subtitle">
    <w:name w:val="Subtitle"/>
    <w:basedOn w:val="Normal"/>
    <w:next w:val="Normal"/>
    <w:link w:val="SubtitleChar"/>
    <w:uiPriority w:val="8"/>
    <w:qFormat/>
    <w:rsid w:val="009B10CA"/>
    <w:pPr>
      <w:keepNext/>
      <w:keepLines/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8"/>
    <w:rsid w:val="009B10CA"/>
    <w:rPr>
      <w:rFonts w:ascii="Times New Roman" w:hAnsi="Times New Roman" w:eastAsiaTheme="majorEastAsia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sid w:val="009B10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440" w:righ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10CA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10CA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10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10CA"/>
    <w:rPr>
      <w:rFonts w:ascii="Times New Roman" w:hAnsi="Times New Roman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10CA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10CA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CA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CA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10CA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10CA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10CA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10CA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54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80"/>
  </w:style>
  <w:style w:type="paragraph" w:styleId="Footer">
    <w:name w:val="footer"/>
    <w:basedOn w:val="Normal"/>
    <w:link w:val="FooterChar"/>
    <w:unhideWhenUsed/>
    <w:rsid w:val="00554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4C80"/>
  </w:style>
  <w:style w:type="paragraph" w:customStyle="1" w:styleId="MacPacTrailer">
    <w:name w:val="MacPac Trailer"/>
    <w:rsid w:val="00554C80"/>
    <w:pPr>
      <w:widowControl w:val="0"/>
      <w:spacing w:after="0" w:line="200" w:lineRule="exact"/>
    </w:pPr>
    <w:rPr>
      <w:rFonts w:eastAsia="Times New Roman" w:cs="Times New Roman"/>
      <w:sz w:val="14"/>
      <w:szCs w:val="22"/>
    </w:rPr>
  </w:style>
  <w:style w:type="character" w:styleId="PlaceholderText">
    <w:name w:val="Placeholder Text"/>
    <w:basedOn w:val="DefaultParagraphFont"/>
    <w:uiPriority w:val="99"/>
    <w:semiHidden/>
    <w:rsid w:val="00554C80"/>
    <w:rPr>
      <w:color w:val="808080"/>
    </w:rPr>
  </w:style>
  <w:style w:type="paragraph" w:styleId="ListParagraph">
    <w:name w:val="List Paragraph"/>
    <w:basedOn w:val="Normal"/>
    <w:uiPriority w:val="34"/>
    <w:qFormat/>
    <w:rsid w:val="00AB3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6018"/>
    <w:pPr>
      <w:widowControl/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960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2023-02-23T19:18:08Z</dcterms:created>
  <dcterms:modified xsi:type="dcterms:W3CDTF">2023-02-23T19:18:08Z</dcterms:modified>
</cp:coreProperties>
</file>