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BC54A2" w:rsidRPr="00BC54A2" w:rsidP="00BC54A2" w14:paraId="13D97049" w14:textId="77777777">
      <w:pPr>
        <w:jc w:val="center"/>
        <w:rPr>
          <w:b/>
          <w:bCs/>
        </w:rPr>
      </w:pPr>
      <w:r w:rsidRPr="00BC54A2">
        <w:rPr>
          <w:b/>
          <w:bCs/>
        </w:rPr>
        <w:t>IRS Practitioner Panel</w:t>
      </w:r>
    </w:p>
    <w:p w:rsidR="00BC54A2" w:rsidRPr="00BC54A2" w:rsidP="00BC54A2" w14:paraId="17B55340" w14:textId="77777777">
      <w:pPr>
        <w:jc w:val="center"/>
        <w:rPr>
          <w:b/>
          <w:bCs/>
        </w:rPr>
      </w:pPr>
      <w:r w:rsidRPr="00BC54A2">
        <w:rPr>
          <w:b/>
          <w:bCs/>
        </w:rPr>
        <w:t>February 24, 2023</w:t>
      </w:r>
    </w:p>
    <w:p w:rsidR="00BC54A2" w:rsidRPr="00BC54A2" w:rsidP="00BC54A2" w14:paraId="2247709B" w14:textId="56ABDC2A">
      <w:pPr>
        <w:jc w:val="center"/>
        <w:rPr>
          <w:b/>
          <w:bCs/>
        </w:rPr>
      </w:pPr>
      <w:r w:rsidRPr="00BC54A2">
        <w:rPr>
          <w:b/>
          <w:bCs/>
        </w:rPr>
        <w:t>SECURE 2.0 – IRAs and Required Minimum Distributions</w:t>
      </w:r>
    </w:p>
    <w:p w:rsidR="00BC54A2" w:rsidRPr="00BC54A2" w:rsidP="00BC54A2" w14:paraId="29B7A02F" w14:textId="77777777">
      <w:pPr>
        <w:rPr>
          <w:b/>
          <w:bCs/>
        </w:rPr>
      </w:pPr>
      <w:r w:rsidRPr="00BC54A2">
        <w:rPr>
          <w:b/>
          <w:bCs/>
        </w:rPr>
        <w:t>Background</w:t>
      </w:r>
    </w:p>
    <w:p w:rsidR="00BC54A2" w:rsidP="00BC54A2" w14:paraId="0488F58F" w14:textId="77777777">
      <w:r>
        <w:t>•</w:t>
      </w:r>
      <w:r>
        <w:tab/>
        <w:t>Important provisions for many taxpayers and rules are complex.</w:t>
      </w:r>
    </w:p>
    <w:p w:rsidR="00BC54A2" w:rsidP="00BC54A2" w14:paraId="7C3D5F03" w14:textId="77777777">
      <w:r>
        <w:t>•</w:t>
      </w:r>
      <w:r>
        <w:tab/>
        <w:t>Section 107 provides for increase in beginning RMD age to 73 in 2023 and 75 in 2033.</w:t>
      </w:r>
    </w:p>
    <w:p w:rsidR="00BC54A2" w:rsidP="00BC54A2" w14:paraId="289F012B" w14:textId="77777777">
      <w:r>
        <w:t>•</w:t>
      </w:r>
      <w:r>
        <w:tab/>
        <w:t>IRS Notice 2020-6 and 2020-51 providing relief to financial institutions when RMD age was raised in Secure 1.0.</w:t>
      </w:r>
    </w:p>
    <w:p w:rsidR="00BC54A2" w:rsidP="00BC54A2" w14:paraId="5870A1A4" w14:textId="77777777">
      <w:r>
        <w:t>•</w:t>
      </w:r>
      <w:r>
        <w:tab/>
        <w:t>Secure 1.0 eliminated the stretch IRA for certain beneficiaries and, at the same time created five classes of Eligible Designated Beneficiaries.</w:t>
      </w:r>
    </w:p>
    <w:p w:rsidR="00BC54A2" w:rsidP="00BC54A2" w14:paraId="3F289A46" w14:textId="77777777">
      <w:r>
        <w:t>•</w:t>
      </w:r>
      <w:r>
        <w:tab/>
        <w:t>Proposed Regulations clarified the 10- year rule (or caused more confusion). IRS Notice 2022-53 waived the excise tax penalty for missed 2021 and 2022 missed RMDs.</w:t>
      </w:r>
    </w:p>
    <w:p w:rsidR="00BC54A2" w:rsidP="00BC54A2" w14:paraId="130F17BB" w14:textId="77777777">
      <w:r>
        <w:t>•</w:t>
      </w:r>
      <w:r>
        <w:tab/>
        <w:t>Section 305 directs the IRS to expand EPCRS to IRAs within 2 years of enactment.</w:t>
      </w:r>
    </w:p>
    <w:p w:rsidR="00BC54A2" w:rsidP="00BC54A2" w14:paraId="450E2079" w14:textId="77777777"/>
    <w:p w:rsidR="00BC54A2" w:rsidRPr="00BC54A2" w:rsidP="00BC54A2" w14:paraId="4A009CFF" w14:textId="77777777">
      <w:pPr>
        <w:rPr>
          <w:b/>
          <w:bCs/>
        </w:rPr>
      </w:pPr>
      <w:r w:rsidRPr="00BC54A2">
        <w:rPr>
          <w:b/>
          <w:bCs/>
        </w:rPr>
        <w:t>Questions/Comments</w:t>
      </w:r>
    </w:p>
    <w:p w:rsidR="00BC54A2" w:rsidP="00BC54A2" w14:paraId="1493B0B7" w14:textId="77777777">
      <w:r>
        <w:t>•</w:t>
      </w:r>
      <w:r>
        <w:tab/>
        <w:t>We assume a technical correction will clarify the age 73 and 75 RBDs.</w:t>
      </w:r>
    </w:p>
    <w:p w:rsidR="00BC54A2" w:rsidP="00BC54A2" w14:paraId="6FD0A9D4" w14:textId="77777777">
      <w:r>
        <w:t>•</w:t>
      </w:r>
      <w:r>
        <w:tab/>
        <w:t xml:space="preserve">Guidance is recommended to clarify issues relating to individuals turning 72 in 2023 </w:t>
      </w:r>
      <w:r>
        <w:t>similar to</w:t>
      </w:r>
      <w:r>
        <w:t xml:space="preserve"> previous guidance. Guidance can include relief for financial institution that provided incorrect information; an extension of the </w:t>
      </w:r>
      <w:r>
        <w:t>60 day</w:t>
      </w:r>
      <w:r>
        <w:t xml:space="preserve"> rollover and ability to repay the RMD.</w:t>
      </w:r>
    </w:p>
    <w:p w:rsidR="00BC54A2" w:rsidP="00BC54A2" w14:paraId="187D8D99" w14:textId="77777777">
      <w:r>
        <w:t>•</w:t>
      </w:r>
      <w:r>
        <w:tab/>
        <w:t xml:space="preserve">Will Final Regulations be issued shortly clarifying the </w:t>
      </w:r>
      <w:r>
        <w:t>10 year</w:t>
      </w:r>
      <w:r>
        <w:t xml:space="preserve"> rule, the status of 2021 and 2022 missed RMDs, the calculation of future RMDs under the 10 year rule and any other clarifications needed among the statutes, proposed regs and publications</w:t>
      </w:r>
    </w:p>
    <w:p w:rsidR="00BC54A2" w:rsidP="00BC54A2" w14:paraId="5ECFCBEA" w14:textId="77777777">
      <w:r>
        <w:t>•</w:t>
      </w:r>
      <w:r>
        <w:tab/>
        <w:t>In expanding the EPCRS to IRAs, consideration may be given to (even more) reduced excise taxes under SCP.</w:t>
      </w:r>
    </w:p>
    <w:p w:rsidR="00BC54A2" w:rsidP="00BC54A2" w14:paraId="6905E81A" w14:textId="77777777">
      <w:r>
        <w:t>•</w:t>
      </w:r>
      <w:r>
        <w:tab/>
        <w:t>In general, simplification is suggested in distribution arena.</w:t>
      </w:r>
    </w:p>
    <w:p w:rsidR="00BC54A2" w:rsidP="00BC54A2" w14:paraId="22A628DB" w14:textId="77777777"/>
    <w:p w:rsidR="00BC54A2" w:rsidP="00BC54A2" w14:paraId="0DFD65C0" w14:textId="1BD52579">
      <w:r>
        <w:t>Avery E. Neumark, CPA,</w:t>
      </w:r>
      <w:r>
        <w:t xml:space="preserve"> </w:t>
      </w:r>
      <w:r>
        <w:t>JD,</w:t>
      </w:r>
      <w:r>
        <w:t xml:space="preserve"> </w:t>
      </w:r>
      <w:r>
        <w:t>LL.M</w:t>
      </w:r>
    </w:p>
    <w:p w:rsidR="00BC54A2" w:rsidP="00BC54A2" w14:paraId="4D353371" w14:textId="77777777">
      <w:r>
        <w:t>Senior Consultant</w:t>
      </w:r>
    </w:p>
    <w:p w:rsidR="00BC54A2" w:rsidP="00BC54A2" w14:paraId="0D0354D7" w14:textId="77777777">
      <w:r>
        <w:t>CBIZ MARKS PANETH</w:t>
      </w:r>
    </w:p>
    <w:p w:rsidR="00BC54A2" w:rsidP="00BC54A2" w14:paraId="2B812E3D" w14:textId="20015036"/>
    <w:p w:rsidR="00A20E2A" w14:textId="20015036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54A2" w14:paraId="7F2B2F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54A2" w14:paraId="6A01605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54A2" w14:paraId="5EC4A38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54A2" w14:paraId="5CCFA6A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54A2" w14:paraId="0919907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54A2" w14:paraId="5D0C141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A2"/>
    <w:rsid w:val="000A5A63"/>
    <w:rsid w:val="00274778"/>
    <w:rsid w:val="0061557B"/>
    <w:rsid w:val="009A1459"/>
    <w:rsid w:val="00A20E2A"/>
    <w:rsid w:val="00A70EF7"/>
    <w:rsid w:val="00BC54A2"/>
    <w:rsid w:val="00D4356E"/>
    <w:rsid w:val="00DD3EE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48E9034-2249-4C13-A8EC-FA153A5A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4A2"/>
  </w:style>
  <w:style w:type="paragraph" w:styleId="Footer">
    <w:name w:val="footer"/>
    <w:basedOn w:val="Normal"/>
    <w:link w:val="FooterChar"/>
    <w:uiPriority w:val="99"/>
    <w:unhideWhenUsed/>
    <w:rsid w:val="00BC5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2023-02-23T19:18:08Z</dcterms:created>
  <dcterms:modified xsi:type="dcterms:W3CDTF">2023-02-23T19:18:08Z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1044480</vt:lpwstr>
  </property>
  <property fmtid="{D5CDD505-2E9C-101B-9397-08002B2CF9AE}" pid="3" name="CUS_DocIDLocation">
    <vt:lpwstr>NO_DOC_ID</vt:lpwstr>
  </property>
</Properties>
</file>