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18C0" w14:textId="77777777" w:rsidR="003A1086" w:rsidRDefault="003A1086" w:rsidP="003A1086">
      <w:pPr>
        <w:jc w:val="both"/>
      </w:pPr>
      <w:r>
        <w:t xml:space="preserve">Jeff Bauer is an employee benefits and executive compensation partner at Seyfarth Shaw’s Chicago office and co-leads its Fiduciary Governance and Institutional Investor group.  A substantial portion of Jeff’s practice is devoted to advising investment fiduciaries regarding the management of plan assets subject to ERISA.  Jeff also has extensive experience assisting employers with all aspects of employee benefits, including tax qualified and nonqualified deferred compensation arrangements, equity and performance-based compensation plans, and health and welfare programs.   In addition, Jeff leads Seyfarth’s ESOP practice in which he regularly represents employers, shareholders, </w:t>
      </w:r>
      <w:proofErr w:type="gramStart"/>
      <w:r>
        <w:t>lenders</w:t>
      </w:r>
      <w:proofErr w:type="gramEnd"/>
      <w:r>
        <w:t xml:space="preserve"> and trustees in negotiating the purchase and sale of employer securities and addressing the unique issues faced by both new and mature ESOP companies alike. </w:t>
      </w:r>
    </w:p>
    <w:p w14:paraId="7A902A0C" w14:textId="77777777" w:rsidR="00D45836" w:rsidRDefault="00D45836"/>
    <w:sectPr w:rsidR="00D45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86"/>
    <w:rsid w:val="003A1086"/>
    <w:rsid w:val="00D4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E8CA"/>
  <w15:chartTrackingRefBased/>
  <w15:docId w15:val="{DD54140C-3C46-4968-A358-E31C0512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3A1086"/>
    <w:pPr>
      <w:spacing w:after="24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Eyles</dc:creator>
  <cp:keywords/>
  <dc:description/>
  <cp:lastModifiedBy>Lorrie Eyles</cp:lastModifiedBy>
  <cp:revision>1</cp:revision>
  <dcterms:created xsi:type="dcterms:W3CDTF">2022-02-14T18:24:00Z</dcterms:created>
  <dcterms:modified xsi:type="dcterms:W3CDTF">2022-02-14T18:25:00Z</dcterms:modified>
</cp:coreProperties>
</file>